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中山大学数学学院2020年</w:t>
      </w:r>
    </w:p>
    <w:p>
      <w:pPr>
        <w:jc w:val="center"/>
        <w:rPr>
          <w:rFonts w:ascii="华文中宋" w:hAnsi="华文中宋" w:eastAsia="华文中宋"/>
          <w:b/>
          <w:sz w:val="36"/>
          <w:szCs w:val="36"/>
        </w:rPr>
      </w:pPr>
      <w:r>
        <w:rPr>
          <w:rFonts w:hint="eastAsia" w:ascii="华文中宋" w:hAnsi="华文中宋" w:eastAsia="华文中宋"/>
          <w:b/>
          <w:sz w:val="36"/>
          <w:szCs w:val="36"/>
        </w:rPr>
        <w:t>以“申请</w:t>
      </w:r>
      <w:r>
        <w:rPr>
          <w:rFonts w:ascii="华文中宋" w:hAnsi="华文中宋" w:eastAsia="华文中宋"/>
          <w:b/>
          <w:sz w:val="36"/>
          <w:szCs w:val="36"/>
        </w:rPr>
        <w:t>-</w:t>
      </w:r>
      <w:r>
        <w:rPr>
          <w:rFonts w:hint="eastAsia" w:ascii="华文中宋" w:hAnsi="华文中宋" w:eastAsia="华文中宋"/>
          <w:b/>
          <w:sz w:val="36"/>
          <w:szCs w:val="36"/>
        </w:rPr>
        <w:t>考核”制招收博士研究生实施办法</w:t>
      </w:r>
    </w:p>
    <w:p>
      <w:pPr>
        <w:ind w:firstLine="420"/>
        <w:rPr>
          <w:rFonts w:ascii="Times New Roman" w:hAnsi="Times New Roman" w:eastAsia="仿宋"/>
          <w:sz w:val="32"/>
          <w:szCs w:val="32"/>
        </w:rPr>
      </w:pPr>
    </w:p>
    <w:p>
      <w:pPr>
        <w:ind w:firstLine="420"/>
        <w:rPr>
          <w:rFonts w:ascii="Times New Roman" w:hAnsi="Times New Roman" w:eastAsia="仿宋"/>
          <w:b/>
          <w:sz w:val="32"/>
          <w:szCs w:val="32"/>
        </w:rPr>
      </w:pPr>
      <w:r>
        <w:rPr>
          <w:rFonts w:ascii="Times New Roman" w:hAnsi="Times New Roman" w:eastAsia="仿宋"/>
          <w:sz w:val="32"/>
          <w:szCs w:val="32"/>
        </w:rPr>
        <w:t>为</w:t>
      </w:r>
      <w:r>
        <w:rPr>
          <w:rFonts w:hint="eastAsia" w:ascii="Times New Roman" w:hAnsi="Times New Roman" w:eastAsia="仿宋"/>
          <w:sz w:val="32"/>
          <w:szCs w:val="32"/>
        </w:rPr>
        <w:t>改革人才选拔模式，充分发挥导师在招生过程中的作用，进一步</w:t>
      </w:r>
      <w:r>
        <w:rPr>
          <w:rFonts w:ascii="Times New Roman" w:hAnsi="Times New Roman" w:eastAsia="仿宋"/>
          <w:sz w:val="32"/>
          <w:szCs w:val="32"/>
        </w:rPr>
        <w:t>提升</w:t>
      </w:r>
      <w:r>
        <w:rPr>
          <w:rFonts w:hint="eastAsia" w:ascii="Times New Roman" w:hAnsi="Times New Roman" w:eastAsia="仿宋"/>
          <w:sz w:val="32"/>
          <w:szCs w:val="32"/>
        </w:rPr>
        <w:t>博士</w:t>
      </w:r>
      <w:r>
        <w:rPr>
          <w:rFonts w:ascii="Times New Roman" w:hAnsi="Times New Roman" w:eastAsia="仿宋"/>
          <w:sz w:val="32"/>
          <w:szCs w:val="32"/>
        </w:rPr>
        <w:t>研究生生源质量，</w:t>
      </w:r>
      <w:r>
        <w:rPr>
          <w:rFonts w:hint="eastAsia" w:ascii="Times New Roman" w:hAnsi="Times New Roman" w:eastAsia="仿宋"/>
          <w:sz w:val="32"/>
          <w:szCs w:val="32"/>
        </w:rPr>
        <w:t>数学学院</w:t>
      </w:r>
      <w:r>
        <w:rPr>
          <w:rFonts w:ascii="Times New Roman" w:hAnsi="Times New Roman" w:eastAsia="仿宋"/>
          <w:sz w:val="32"/>
          <w:szCs w:val="32"/>
        </w:rPr>
        <w:t>20</w:t>
      </w:r>
      <w:r>
        <w:rPr>
          <w:rFonts w:hint="eastAsia" w:ascii="Times New Roman" w:hAnsi="Times New Roman" w:eastAsia="仿宋"/>
          <w:sz w:val="32"/>
          <w:szCs w:val="32"/>
        </w:rPr>
        <w:t>20</w:t>
      </w:r>
      <w:r>
        <w:rPr>
          <w:rFonts w:ascii="Times New Roman" w:hAnsi="Times New Roman" w:eastAsia="仿宋"/>
          <w:sz w:val="32"/>
          <w:szCs w:val="32"/>
        </w:rPr>
        <w:t>年</w:t>
      </w:r>
      <w:r>
        <w:rPr>
          <w:rFonts w:hint="eastAsia" w:ascii="Times New Roman" w:hAnsi="Times New Roman" w:eastAsia="仿宋"/>
          <w:sz w:val="32"/>
          <w:szCs w:val="32"/>
        </w:rPr>
        <w:t>实行</w:t>
      </w:r>
      <w:r>
        <w:rPr>
          <w:rFonts w:ascii="Times New Roman" w:hAnsi="Times New Roman" w:eastAsia="仿宋"/>
          <w:sz w:val="32"/>
          <w:szCs w:val="32"/>
        </w:rPr>
        <w:t>以</w:t>
      </w:r>
      <w:r>
        <w:rPr>
          <w:rFonts w:hint="eastAsia" w:ascii="Times New Roman" w:hAnsi="Times New Roman" w:eastAsia="仿宋"/>
          <w:sz w:val="32"/>
          <w:szCs w:val="32"/>
        </w:rPr>
        <w:t>“</w:t>
      </w:r>
      <w:r>
        <w:rPr>
          <w:rFonts w:ascii="Times New Roman" w:hAnsi="Times New Roman" w:eastAsia="仿宋"/>
          <w:sz w:val="32"/>
          <w:szCs w:val="32"/>
        </w:rPr>
        <w:t>申请-考核</w:t>
      </w:r>
      <w:r>
        <w:rPr>
          <w:rFonts w:hint="eastAsia" w:ascii="Times New Roman" w:hAnsi="Times New Roman" w:eastAsia="仿宋"/>
          <w:sz w:val="32"/>
          <w:szCs w:val="32"/>
        </w:rPr>
        <w:t>”制</w:t>
      </w:r>
      <w:r>
        <w:rPr>
          <w:rFonts w:ascii="Times New Roman" w:hAnsi="Times New Roman" w:eastAsia="仿宋"/>
          <w:sz w:val="32"/>
          <w:szCs w:val="32"/>
        </w:rPr>
        <w:t>招收博士研究生（以下简称“申请</w:t>
      </w:r>
      <w:r>
        <w:rPr>
          <w:rFonts w:hint="eastAsia" w:ascii="Times New Roman" w:hAnsi="Times New Roman" w:eastAsia="仿宋"/>
          <w:sz w:val="32"/>
          <w:szCs w:val="32"/>
        </w:rPr>
        <w:t>-考核”</w:t>
      </w:r>
      <w:r>
        <w:rPr>
          <w:rFonts w:ascii="Times New Roman" w:hAnsi="Times New Roman" w:eastAsia="仿宋"/>
          <w:sz w:val="32"/>
          <w:szCs w:val="32"/>
        </w:rPr>
        <w:t>制）。</w:t>
      </w:r>
      <w:r>
        <w:rPr>
          <w:rFonts w:hint="eastAsia" w:ascii="Times New Roman" w:hAnsi="Times New Roman" w:eastAsia="仿宋"/>
          <w:sz w:val="32"/>
          <w:szCs w:val="32"/>
        </w:rPr>
        <w:t>为做好“</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w:t>
      </w:r>
      <w:r>
        <w:rPr>
          <w:rFonts w:hint="eastAsia" w:ascii="Times New Roman" w:hAnsi="Times New Roman" w:eastAsia="仿宋"/>
          <w:sz w:val="32"/>
          <w:szCs w:val="32"/>
        </w:rPr>
        <w:t>工作，参照《中山大学</w:t>
      </w:r>
      <w:r>
        <w:rPr>
          <w:rFonts w:ascii="Times New Roman" w:hAnsi="Times New Roman" w:eastAsia="仿宋"/>
          <w:sz w:val="32"/>
          <w:szCs w:val="32"/>
        </w:rPr>
        <w:t>以</w:t>
      </w:r>
      <w:r>
        <w:rPr>
          <w:rFonts w:hint="eastAsia" w:ascii="Times New Roman" w:hAnsi="Times New Roman" w:eastAsia="仿宋"/>
          <w:sz w:val="32"/>
          <w:szCs w:val="32"/>
        </w:rPr>
        <w:t>“</w:t>
      </w:r>
      <w:r>
        <w:rPr>
          <w:rFonts w:ascii="Times New Roman" w:hAnsi="Times New Roman" w:eastAsia="仿宋"/>
          <w:sz w:val="32"/>
          <w:szCs w:val="32"/>
        </w:rPr>
        <w:t>申请</w:t>
      </w:r>
      <w:r>
        <w:rPr>
          <w:rFonts w:hint="eastAsia" w:ascii="Times New Roman" w:hAnsi="Times New Roman" w:eastAsia="仿宋"/>
          <w:sz w:val="32"/>
          <w:szCs w:val="32"/>
        </w:rPr>
        <w:t>-</w:t>
      </w:r>
      <w:r>
        <w:rPr>
          <w:rFonts w:ascii="Times New Roman" w:hAnsi="Times New Roman" w:eastAsia="仿宋"/>
          <w:sz w:val="32"/>
          <w:szCs w:val="32"/>
        </w:rPr>
        <w:t>考核</w:t>
      </w:r>
      <w:r>
        <w:rPr>
          <w:rFonts w:hint="eastAsia" w:ascii="Times New Roman" w:hAnsi="Times New Roman" w:eastAsia="仿宋"/>
          <w:sz w:val="32"/>
          <w:szCs w:val="32"/>
        </w:rPr>
        <w:t>”制</w:t>
      </w:r>
      <w:r>
        <w:rPr>
          <w:rFonts w:ascii="Times New Roman" w:hAnsi="Times New Roman" w:eastAsia="仿宋"/>
          <w:sz w:val="32"/>
          <w:szCs w:val="32"/>
        </w:rPr>
        <w:t>招收博士研究生</w:t>
      </w:r>
      <w:r>
        <w:rPr>
          <w:rFonts w:hint="eastAsia" w:ascii="Times New Roman" w:hAnsi="Times New Roman" w:eastAsia="仿宋"/>
          <w:sz w:val="32"/>
          <w:szCs w:val="32"/>
        </w:rPr>
        <w:t>工作办法》，特制订本办法。</w:t>
      </w:r>
    </w:p>
    <w:p>
      <w:pPr>
        <w:ind w:firstLine="420"/>
        <w:rPr>
          <w:rFonts w:ascii="Times New Roman" w:hAnsi="Times New Roman" w:eastAsia="仿宋"/>
          <w:b/>
          <w:sz w:val="32"/>
          <w:szCs w:val="32"/>
        </w:rPr>
      </w:pPr>
      <w:r>
        <w:rPr>
          <w:rFonts w:ascii="Times New Roman" w:hAnsi="Times New Roman" w:eastAsia="仿宋"/>
          <w:b/>
          <w:sz w:val="32"/>
          <w:szCs w:val="32"/>
        </w:rPr>
        <w:t>一、组织管理</w:t>
      </w:r>
    </w:p>
    <w:p>
      <w:pPr>
        <w:pStyle w:val="12"/>
        <w:ind w:firstLineChars="0"/>
        <w:rPr>
          <w:rFonts w:ascii="Times New Roman" w:hAnsi="Times New Roman" w:eastAsia="仿宋"/>
          <w:sz w:val="32"/>
          <w:szCs w:val="32"/>
        </w:rPr>
      </w:pPr>
      <w:r>
        <w:rPr>
          <w:rFonts w:hint="eastAsia" w:ascii="Times New Roman" w:hAnsi="Times New Roman" w:eastAsia="仿宋"/>
          <w:sz w:val="32"/>
          <w:szCs w:val="32"/>
        </w:rPr>
        <w:t>1、学院</w:t>
      </w:r>
      <w:r>
        <w:rPr>
          <w:rFonts w:ascii="Times New Roman" w:hAnsi="Times New Roman" w:eastAsia="仿宋"/>
          <w:sz w:val="32"/>
          <w:szCs w:val="32"/>
        </w:rPr>
        <w:t>研究生教育</w:t>
      </w:r>
      <w:r>
        <w:rPr>
          <w:rFonts w:hint="eastAsia" w:ascii="Times New Roman" w:hAnsi="Times New Roman" w:eastAsia="仿宋"/>
          <w:sz w:val="32"/>
          <w:szCs w:val="32"/>
        </w:rPr>
        <w:t>与学位</w:t>
      </w:r>
      <w:r>
        <w:rPr>
          <w:rFonts w:ascii="Times New Roman" w:hAnsi="Times New Roman" w:eastAsia="仿宋"/>
          <w:sz w:val="32"/>
          <w:szCs w:val="32"/>
        </w:rPr>
        <w:t>专</w:t>
      </w:r>
      <w:r>
        <w:rPr>
          <w:rFonts w:hint="eastAsia" w:ascii="Times New Roman" w:hAnsi="Times New Roman" w:eastAsia="仿宋"/>
          <w:sz w:val="32"/>
          <w:szCs w:val="32"/>
        </w:rPr>
        <w:t>门</w:t>
      </w:r>
      <w:r>
        <w:rPr>
          <w:rFonts w:ascii="Times New Roman" w:hAnsi="Times New Roman" w:eastAsia="仿宋"/>
          <w:sz w:val="32"/>
          <w:szCs w:val="32"/>
        </w:rPr>
        <w:t>委员会</w:t>
      </w:r>
      <w:r>
        <w:rPr>
          <w:rFonts w:hint="eastAsia" w:ascii="Times New Roman" w:hAnsi="Times New Roman" w:eastAsia="仿宋"/>
          <w:sz w:val="32"/>
          <w:szCs w:val="32"/>
        </w:rPr>
        <w:t>负责</w:t>
      </w:r>
      <w:r>
        <w:rPr>
          <w:rFonts w:ascii="Times New Roman" w:hAnsi="Times New Roman" w:eastAsia="仿宋"/>
          <w:sz w:val="32"/>
          <w:szCs w:val="32"/>
        </w:rPr>
        <w:t>对</w:t>
      </w:r>
      <w:r>
        <w:rPr>
          <w:rFonts w:hint="eastAsia" w:ascii="Times New Roman" w:hAnsi="Times New Roman" w:eastAsia="仿宋"/>
          <w:sz w:val="32"/>
          <w:szCs w:val="32"/>
        </w:rPr>
        <w:t>本院“</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w:t>
      </w:r>
      <w:r>
        <w:rPr>
          <w:rFonts w:hint="eastAsia" w:ascii="Times New Roman" w:hAnsi="Times New Roman" w:eastAsia="仿宋"/>
          <w:sz w:val="32"/>
          <w:szCs w:val="32"/>
        </w:rPr>
        <w:t>工作实施</w:t>
      </w:r>
      <w:r>
        <w:rPr>
          <w:rFonts w:ascii="Times New Roman" w:hAnsi="Times New Roman" w:eastAsia="仿宋"/>
          <w:sz w:val="32"/>
          <w:szCs w:val="32"/>
        </w:rPr>
        <w:t>领导</w:t>
      </w:r>
      <w:r>
        <w:rPr>
          <w:rFonts w:hint="eastAsia" w:ascii="Times New Roman" w:hAnsi="Times New Roman" w:eastAsia="仿宋"/>
          <w:sz w:val="32"/>
          <w:szCs w:val="32"/>
        </w:rPr>
        <w:t>和</w:t>
      </w:r>
      <w:r>
        <w:rPr>
          <w:rFonts w:ascii="Times New Roman" w:hAnsi="Times New Roman" w:eastAsia="仿宋"/>
          <w:sz w:val="32"/>
          <w:szCs w:val="32"/>
        </w:rPr>
        <w:t>监督</w:t>
      </w:r>
      <w:r>
        <w:rPr>
          <w:rFonts w:hint="eastAsia" w:ascii="Times New Roman" w:hAnsi="Times New Roman" w:eastAsia="仿宋"/>
          <w:sz w:val="32"/>
          <w:szCs w:val="32"/>
        </w:rPr>
        <w:t>，并</w:t>
      </w:r>
      <w:r>
        <w:rPr>
          <w:rFonts w:ascii="Times New Roman" w:hAnsi="Times New Roman" w:eastAsia="仿宋"/>
          <w:sz w:val="32"/>
          <w:szCs w:val="32"/>
        </w:rPr>
        <w:t>负责对</w:t>
      </w:r>
      <w:r>
        <w:rPr>
          <w:rFonts w:hint="eastAsia" w:ascii="Times New Roman" w:hAnsi="Times New Roman" w:eastAsia="仿宋"/>
          <w:sz w:val="32"/>
          <w:szCs w:val="32"/>
        </w:rPr>
        <w:t>“</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制招生工作</w:t>
      </w:r>
      <w:r>
        <w:rPr>
          <w:rFonts w:hint="eastAsia" w:ascii="Times New Roman" w:hAnsi="Times New Roman" w:eastAsia="仿宋"/>
          <w:sz w:val="32"/>
          <w:szCs w:val="32"/>
        </w:rPr>
        <w:t>实施</w:t>
      </w:r>
      <w:r>
        <w:rPr>
          <w:rFonts w:ascii="Times New Roman" w:hAnsi="Times New Roman" w:eastAsia="仿宋"/>
          <w:sz w:val="32"/>
          <w:szCs w:val="32"/>
        </w:rPr>
        <w:t>方案</w:t>
      </w:r>
      <w:r>
        <w:rPr>
          <w:rFonts w:hint="eastAsia" w:ascii="Times New Roman" w:hAnsi="Times New Roman" w:eastAsia="仿宋"/>
          <w:sz w:val="32"/>
          <w:szCs w:val="32"/>
        </w:rPr>
        <w:t>和招生简章</w:t>
      </w:r>
      <w:r>
        <w:rPr>
          <w:rFonts w:ascii="Times New Roman" w:hAnsi="Times New Roman" w:eastAsia="仿宋"/>
          <w:sz w:val="32"/>
          <w:szCs w:val="32"/>
        </w:rPr>
        <w:t>进行审定</w:t>
      </w:r>
      <w:r>
        <w:rPr>
          <w:rFonts w:hint="eastAsia" w:ascii="Times New Roman" w:hAnsi="Times New Roman" w:eastAsia="仿宋"/>
          <w:sz w:val="32"/>
          <w:szCs w:val="32"/>
        </w:rPr>
        <w:t>，并报学校审批</w:t>
      </w:r>
      <w:r>
        <w:rPr>
          <w:rFonts w:ascii="Times New Roman" w:hAnsi="Times New Roman" w:eastAsia="仿宋"/>
          <w:sz w:val="32"/>
          <w:szCs w:val="32"/>
        </w:rPr>
        <w:t>。</w:t>
      </w:r>
    </w:p>
    <w:p>
      <w:pPr>
        <w:pStyle w:val="12"/>
        <w:ind w:firstLine="320" w:firstLineChars="1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、学院成立资格审核小组，对申请人的材料进行审核。</w:t>
      </w:r>
    </w:p>
    <w:p>
      <w:pPr>
        <w:pStyle w:val="12"/>
        <w:ind w:firstLine="320" w:firstLineChars="100"/>
        <w:rPr>
          <w:rFonts w:ascii="Times New Roman" w:hAnsi="Times New Roman" w:eastAsia="仿宋"/>
          <w:sz w:val="32"/>
          <w:szCs w:val="32"/>
        </w:rPr>
      </w:pPr>
      <w:r>
        <w:rPr>
          <w:rFonts w:hint="eastAsia" w:ascii="Times New Roman" w:hAnsi="Times New Roman" w:eastAsia="仿宋"/>
          <w:sz w:val="32"/>
          <w:szCs w:val="32"/>
        </w:rPr>
        <w:t>3、学院成立学科专家组，小组成员不少于5名，其中具有高级职称的博士生导师不少于3名,负责确定专家组面试考核的具体程序、内容和评分标准，并对申请人进行考察。</w:t>
      </w:r>
    </w:p>
    <w:p>
      <w:pPr>
        <w:pStyle w:val="12"/>
        <w:ind w:firstLineChars="0"/>
        <w:rPr>
          <w:rFonts w:ascii="Times New Roman" w:hAnsi="Times New Roman" w:eastAsia="仿宋"/>
          <w:sz w:val="32"/>
          <w:szCs w:val="32"/>
        </w:rPr>
      </w:pPr>
      <w:r>
        <w:rPr>
          <w:rFonts w:hint="eastAsia" w:ascii="Times New Roman" w:hAnsi="Times New Roman" w:eastAsia="仿宋"/>
          <w:sz w:val="32"/>
          <w:szCs w:val="32"/>
        </w:rPr>
        <w:t>4、学院主管副院长</w:t>
      </w:r>
      <w:r>
        <w:rPr>
          <w:rFonts w:ascii="Times New Roman" w:hAnsi="Times New Roman" w:eastAsia="仿宋"/>
          <w:sz w:val="32"/>
          <w:szCs w:val="32"/>
        </w:rPr>
        <w:t>负责</w:t>
      </w:r>
      <w:r>
        <w:rPr>
          <w:rFonts w:hint="eastAsia" w:ascii="Times New Roman" w:hAnsi="Times New Roman" w:eastAsia="仿宋"/>
          <w:sz w:val="32"/>
          <w:szCs w:val="32"/>
        </w:rPr>
        <w:t>组织开展</w:t>
      </w:r>
      <w:r>
        <w:rPr>
          <w:rFonts w:ascii="Times New Roman" w:hAnsi="Times New Roman" w:eastAsia="仿宋"/>
          <w:sz w:val="32"/>
          <w:szCs w:val="32"/>
        </w:rPr>
        <w:t>本单位申请</w:t>
      </w:r>
      <w:r>
        <w:rPr>
          <w:rFonts w:hint="eastAsia" w:ascii="Times New Roman" w:hAnsi="Times New Roman" w:eastAsia="仿宋"/>
          <w:sz w:val="32"/>
          <w:szCs w:val="32"/>
        </w:rPr>
        <w:t>-考核</w:t>
      </w:r>
      <w:r>
        <w:rPr>
          <w:rFonts w:ascii="Times New Roman" w:hAnsi="Times New Roman" w:eastAsia="仿宋"/>
          <w:sz w:val="32"/>
          <w:szCs w:val="32"/>
        </w:rPr>
        <w:t>制招生的</w:t>
      </w:r>
      <w:r>
        <w:rPr>
          <w:rFonts w:hint="eastAsia" w:ascii="Times New Roman" w:hAnsi="Times New Roman" w:eastAsia="仿宋"/>
          <w:sz w:val="32"/>
          <w:szCs w:val="32"/>
        </w:rPr>
        <w:t>各项具体</w:t>
      </w:r>
      <w:r>
        <w:rPr>
          <w:rFonts w:ascii="Times New Roman" w:hAnsi="Times New Roman" w:eastAsia="仿宋"/>
          <w:sz w:val="32"/>
          <w:szCs w:val="32"/>
        </w:rPr>
        <w:t>工作。</w:t>
      </w:r>
    </w:p>
    <w:p>
      <w:pPr>
        <w:ind w:firstLine="420"/>
        <w:rPr>
          <w:rFonts w:ascii="Times New Roman" w:hAnsi="Times New Roman" w:eastAsia="仿宋"/>
          <w:b/>
          <w:sz w:val="32"/>
          <w:szCs w:val="32"/>
        </w:rPr>
      </w:pPr>
      <w:r>
        <w:rPr>
          <w:rFonts w:hint="eastAsia" w:ascii="Times New Roman" w:hAnsi="Times New Roman" w:eastAsia="仿宋"/>
          <w:b/>
          <w:sz w:val="32"/>
          <w:szCs w:val="32"/>
        </w:rPr>
        <w:t>二、材料审核</w:t>
      </w:r>
    </w:p>
    <w:p>
      <w:pPr>
        <w:ind w:firstLine="420"/>
        <w:rPr>
          <w:rFonts w:ascii="Times New Roman" w:hAnsi="Times New Roman" w:eastAsia="仿宋"/>
          <w:sz w:val="32"/>
          <w:szCs w:val="32"/>
        </w:rPr>
      </w:pPr>
      <w:r>
        <w:rPr>
          <w:rFonts w:hint="eastAsia" w:ascii="Times New Roman" w:hAnsi="Times New Roman" w:eastAsia="仿宋"/>
          <w:sz w:val="32"/>
          <w:szCs w:val="32"/>
        </w:rPr>
        <w:t>1、数学学院资格审核小组对申请人的申报资格进行形式审查。</w:t>
      </w:r>
    </w:p>
    <w:p>
      <w:pPr>
        <w:ind w:firstLine="420"/>
        <w:rPr>
          <w:rFonts w:ascii="Times New Roman" w:hAnsi="Times New Roman" w:eastAsia="仿宋"/>
          <w:sz w:val="32"/>
          <w:szCs w:val="32"/>
        </w:rPr>
      </w:pPr>
      <w:r>
        <w:rPr>
          <w:rFonts w:hint="eastAsia" w:ascii="Times New Roman" w:hAnsi="Times New Roman" w:eastAsia="仿宋"/>
          <w:sz w:val="32"/>
          <w:szCs w:val="32"/>
        </w:rPr>
        <w:t>2、学院组织以博士研究生导师为主的专家组对已通过形式审查的申请资料进行审核，根据招生计划，按照一定的比例择优确定进入综合考核考生名单。</w:t>
      </w:r>
    </w:p>
    <w:p>
      <w:pPr>
        <w:ind w:firstLine="420"/>
        <w:rPr>
          <w:rFonts w:ascii="Times New Roman" w:hAnsi="Times New Roman" w:eastAsia="仿宋"/>
          <w:sz w:val="32"/>
          <w:szCs w:val="32"/>
        </w:rPr>
      </w:pPr>
      <w:r>
        <w:rPr>
          <w:rFonts w:hint="eastAsia" w:ascii="Times New Roman" w:hAnsi="Times New Roman" w:eastAsia="仿宋"/>
          <w:sz w:val="32"/>
          <w:szCs w:val="32"/>
        </w:rPr>
        <w:t>3、数学学院研工办于2019年12月之前在学院网站公示进入综合考核考生名单。</w:t>
      </w:r>
    </w:p>
    <w:p>
      <w:pPr>
        <w:ind w:firstLine="420"/>
        <w:rPr>
          <w:rFonts w:ascii="Times New Roman" w:hAnsi="Times New Roman" w:eastAsia="仿宋"/>
          <w:b/>
          <w:sz w:val="32"/>
          <w:szCs w:val="32"/>
        </w:rPr>
      </w:pPr>
      <w:r>
        <w:rPr>
          <w:rFonts w:hint="eastAsia" w:ascii="Times New Roman" w:hAnsi="Times New Roman" w:eastAsia="仿宋"/>
          <w:b/>
          <w:sz w:val="32"/>
          <w:szCs w:val="32"/>
        </w:rPr>
        <w:t>三、综合考核</w:t>
      </w:r>
    </w:p>
    <w:p>
      <w:pPr>
        <w:ind w:firstLine="420"/>
        <w:rPr>
          <w:rFonts w:ascii="Times New Roman" w:hAnsi="Times New Roman" w:eastAsia="仿宋"/>
          <w:sz w:val="32"/>
          <w:szCs w:val="32"/>
        </w:rPr>
      </w:pPr>
      <w:r>
        <w:rPr>
          <w:rFonts w:hint="eastAsia" w:ascii="Times New Roman" w:hAnsi="Times New Roman" w:eastAsia="仿宋"/>
          <w:sz w:val="32"/>
          <w:szCs w:val="32"/>
        </w:rPr>
        <w:t>综合考核采取面试的方式进行，分为专家组面试考察和导师组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考核于2020年1月之前进行。</w:t>
      </w:r>
    </w:p>
    <w:p>
      <w:pPr>
        <w:ind w:firstLine="420"/>
        <w:rPr>
          <w:rFonts w:ascii="Times New Roman" w:hAnsi="Times New Roman" w:eastAsia="仿宋"/>
          <w:b/>
          <w:sz w:val="32"/>
          <w:szCs w:val="32"/>
        </w:rPr>
      </w:pPr>
      <w:r>
        <w:rPr>
          <w:rFonts w:hint="eastAsia" w:ascii="Times New Roman" w:hAnsi="Times New Roman" w:eastAsia="仿宋"/>
          <w:b/>
          <w:sz w:val="32"/>
          <w:szCs w:val="32"/>
        </w:rPr>
        <w:t>（一）报到及资格审查</w:t>
      </w:r>
    </w:p>
    <w:p>
      <w:pPr>
        <w:ind w:firstLine="420"/>
        <w:rPr>
          <w:rFonts w:ascii="Times New Roman" w:hAnsi="Times New Roman" w:eastAsia="仿宋"/>
          <w:sz w:val="32"/>
          <w:szCs w:val="32"/>
        </w:rPr>
      </w:pPr>
      <w:r>
        <w:rPr>
          <w:rFonts w:hint="eastAsia" w:ascii="Times New Roman" w:hAnsi="Times New Roman" w:eastAsia="仿宋"/>
          <w:sz w:val="32"/>
          <w:szCs w:val="32"/>
        </w:rPr>
        <w:t>凡参加“申请-考核”制博士研究生综合考核的考生均需报到，报到时间和地点届时见具体通知。报到时考生须提供以下材料供学院审查：</w:t>
      </w:r>
    </w:p>
    <w:p>
      <w:pPr>
        <w:ind w:firstLine="420"/>
        <w:rPr>
          <w:rFonts w:ascii="Times New Roman" w:hAnsi="Times New Roman" w:eastAsia="仿宋"/>
          <w:sz w:val="32"/>
          <w:szCs w:val="32"/>
        </w:rPr>
      </w:pPr>
      <w:r>
        <w:rPr>
          <w:rFonts w:hint="eastAsia" w:ascii="Times New Roman" w:hAnsi="Times New Roman" w:eastAsia="仿宋"/>
          <w:sz w:val="32"/>
          <w:szCs w:val="32"/>
        </w:rPr>
        <w:t>1、身份证原件及复印件一式2份（</w:t>
      </w:r>
      <w:r>
        <w:rPr>
          <w:rFonts w:hint="eastAsia" w:ascii="仿宋" w:hAnsi="仿宋" w:eastAsia="仿宋"/>
          <w:sz w:val="32"/>
          <w:szCs w:val="32"/>
        </w:rPr>
        <w:t>正反面复印在同一张A4纸内，考生须在其中1份的空白处书写“授权中山大学代本人申领工行灵通卡，并从本人指定账户扣收学费”并签名</w:t>
      </w:r>
      <w:r>
        <w:rPr>
          <w:rFonts w:hint="eastAsia" w:ascii="Times New Roman" w:hAnsi="Times New Roman" w:eastAsia="仿宋"/>
          <w:sz w:val="32"/>
          <w:szCs w:val="32"/>
        </w:rPr>
        <w:t>）。</w:t>
      </w:r>
    </w:p>
    <w:p>
      <w:pPr>
        <w:ind w:firstLine="420"/>
        <w:rPr>
          <w:rFonts w:ascii="Times New Roman" w:hAnsi="Times New Roman" w:eastAsia="仿宋"/>
          <w:sz w:val="32"/>
          <w:szCs w:val="32"/>
        </w:rPr>
      </w:pPr>
      <w:r>
        <w:rPr>
          <w:rFonts w:hint="eastAsia" w:ascii="Times New Roman" w:hAnsi="Times New Roman" w:eastAsia="仿宋"/>
          <w:sz w:val="32"/>
          <w:szCs w:val="32"/>
        </w:rPr>
        <w:t>2、硕士毕业证书和学位证书原件及复印件1份（仅非应届硕士生提交），境外学位学历必须提交教育部留学服务中心出具的认证报告原件及复印件（盖公章）。</w:t>
      </w:r>
    </w:p>
    <w:p>
      <w:pPr>
        <w:ind w:firstLine="420"/>
        <w:rPr>
          <w:rFonts w:ascii="Times New Roman" w:hAnsi="Times New Roman" w:eastAsia="仿宋"/>
          <w:sz w:val="32"/>
          <w:szCs w:val="32"/>
        </w:rPr>
      </w:pPr>
      <w:r>
        <w:rPr>
          <w:rFonts w:hint="eastAsia" w:ascii="Times New Roman" w:hAnsi="Times New Roman" w:eastAsia="仿宋"/>
          <w:sz w:val="32"/>
          <w:szCs w:val="32"/>
        </w:rPr>
        <w:t>3、在校本科生和在校硕士生须提供学生证原件及复印件1份。</w:t>
      </w:r>
    </w:p>
    <w:p>
      <w:pPr>
        <w:ind w:firstLine="420"/>
        <w:rPr>
          <w:rFonts w:ascii="Times New Roman" w:hAnsi="Times New Roman" w:eastAsia="仿宋"/>
          <w:sz w:val="32"/>
          <w:szCs w:val="32"/>
        </w:rPr>
      </w:pPr>
      <w:r>
        <w:rPr>
          <w:rFonts w:hint="eastAsia" w:ascii="Times New Roman" w:hAnsi="Times New Roman" w:eastAsia="仿宋"/>
          <w:sz w:val="32"/>
          <w:szCs w:val="32"/>
        </w:rPr>
        <w:t>凡未带以上资料者，取消综合考核资格。</w:t>
      </w:r>
    </w:p>
    <w:p>
      <w:pPr>
        <w:ind w:firstLine="420"/>
        <w:rPr>
          <w:rFonts w:ascii="Times New Roman" w:hAnsi="Times New Roman" w:eastAsia="仿宋"/>
          <w:b/>
          <w:sz w:val="32"/>
          <w:szCs w:val="32"/>
        </w:rPr>
      </w:pPr>
      <w:r>
        <w:rPr>
          <w:rFonts w:hint="eastAsia" w:ascii="Times New Roman" w:hAnsi="Times New Roman" w:eastAsia="仿宋"/>
          <w:b/>
          <w:sz w:val="32"/>
          <w:szCs w:val="32"/>
        </w:rPr>
        <w:t>（二）专家组面试考察</w:t>
      </w:r>
    </w:p>
    <w:p>
      <w:pPr>
        <w:ind w:firstLine="420"/>
        <w:rPr>
          <w:rFonts w:ascii="Times New Roman" w:hAnsi="Times New Roman" w:eastAsia="仿宋"/>
          <w:sz w:val="32"/>
          <w:szCs w:val="32"/>
        </w:rPr>
      </w:pPr>
      <w:r>
        <w:rPr>
          <w:rFonts w:hint="eastAsia" w:ascii="Times New Roman" w:hAnsi="Times New Roman" w:eastAsia="仿宋"/>
          <w:sz w:val="32"/>
          <w:szCs w:val="32"/>
        </w:rPr>
        <w:t>1、专家组面试名单的确定</w:t>
      </w:r>
    </w:p>
    <w:p>
      <w:pPr>
        <w:ind w:firstLine="420"/>
        <w:rPr>
          <w:rFonts w:ascii="Times New Roman" w:hAnsi="Times New Roman" w:eastAsia="仿宋"/>
          <w:sz w:val="32"/>
          <w:szCs w:val="32"/>
        </w:rPr>
      </w:pPr>
      <w:r>
        <w:rPr>
          <w:rFonts w:hint="eastAsia" w:ascii="Times New Roman" w:hAnsi="Times New Roman" w:eastAsia="仿宋"/>
          <w:sz w:val="32"/>
          <w:szCs w:val="32"/>
        </w:rPr>
        <w:t>凡通过学院材料审核者，均具有专家组面试考察资格。</w:t>
      </w:r>
    </w:p>
    <w:p>
      <w:pPr>
        <w:ind w:firstLine="420"/>
        <w:rPr>
          <w:rFonts w:ascii="Times New Roman" w:hAnsi="Times New Roman" w:eastAsia="仿宋"/>
          <w:sz w:val="32"/>
          <w:szCs w:val="32"/>
        </w:rPr>
      </w:pPr>
      <w:r>
        <w:rPr>
          <w:rFonts w:hint="eastAsia" w:ascii="Times New Roman" w:hAnsi="Times New Roman" w:eastAsia="仿宋"/>
          <w:sz w:val="32"/>
          <w:szCs w:val="32"/>
        </w:rPr>
        <w:t>专家组面试时间和地点届时见具体通知。</w:t>
      </w:r>
    </w:p>
    <w:p>
      <w:pPr>
        <w:ind w:firstLine="420"/>
        <w:rPr>
          <w:rFonts w:ascii="Times New Roman" w:hAnsi="Times New Roman" w:eastAsia="仿宋"/>
          <w:sz w:val="32"/>
          <w:szCs w:val="32"/>
        </w:rPr>
      </w:pPr>
      <w:r>
        <w:rPr>
          <w:rFonts w:hint="eastAsia" w:ascii="Times New Roman" w:hAnsi="Times New Roman" w:eastAsia="仿宋"/>
          <w:sz w:val="32"/>
          <w:szCs w:val="32"/>
        </w:rPr>
        <w:t>2、专家组面试考核办法</w:t>
      </w:r>
    </w:p>
    <w:p>
      <w:pPr>
        <w:ind w:firstLine="420"/>
        <w:rPr>
          <w:rFonts w:ascii="Times New Roman" w:hAnsi="Times New Roman" w:eastAsia="仿宋"/>
          <w:sz w:val="32"/>
          <w:szCs w:val="32"/>
        </w:rPr>
      </w:pPr>
      <w:r>
        <w:rPr>
          <w:rFonts w:hint="eastAsia" w:ascii="Times New Roman" w:hAnsi="Times New Roman" w:eastAsia="仿宋"/>
          <w:sz w:val="32"/>
          <w:szCs w:val="32"/>
        </w:rPr>
        <w:t>（1）专家组面试考察工作由学科专家组组织进行。学科专家组由相关学科专业的研究生导师组成（含报读的导师），小组成员不少于5人，其中博士研究生导师不得少于3人，其中一名担任组长。安排秘书1名作记录，负责面试记录和协助安排有关事宜。</w:t>
      </w:r>
    </w:p>
    <w:p>
      <w:pPr>
        <w:ind w:firstLine="420"/>
        <w:rPr>
          <w:rFonts w:ascii="Times New Roman" w:hAnsi="Times New Roman" w:eastAsia="仿宋"/>
          <w:sz w:val="32"/>
          <w:szCs w:val="32"/>
        </w:rPr>
      </w:pPr>
      <w:r>
        <w:rPr>
          <w:rFonts w:hint="eastAsia" w:ascii="Times New Roman" w:hAnsi="Times New Roman" w:eastAsia="仿宋"/>
          <w:sz w:val="32"/>
          <w:szCs w:val="32"/>
        </w:rPr>
        <w:t>（2）学科专家组对参加面试的考生逐个进行面试，面试顺序在面试前随机抽号决定。考核采取考核教师提问，考生当场回答的方式进行。必要时，考核教师可就相关问题进一步提问。</w:t>
      </w:r>
    </w:p>
    <w:p>
      <w:pPr>
        <w:ind w:firstLine="420"/>
        <w:rPr>
          <w:rFonts w:ascii="Times New Roman" w:hAnsi="Times New Roman" w:eastAsia="仿宋"/>
          <w:sz w:val="32"/>
          <w:szCs w:val="32"/>
        </w:rPr>
      </w:pPr>
      <w:r>
        <w:rPr>
          <w:rFonts w:hint="eastAsia" w:ascii="Times New Roman" w:hAnsi="Times New Roman" w:eastAsia="仿宋"/>
          <w:sz w:val="32"/>
          <w:szCs w:val="32"/>
        </w:rPr>
        <w:t>（3）每位考生面试结束后，由考核教师现场独立为考生评分。在评分前可召开学科专家组会议，研究对考生的考核评价意见。考核教师各自评分的算术平均值为该考生的最终考核分数。</w:t>
      </w:r>
    </w:p>
    <w:p>
      <w:pPr>
        <w:ind w:firstLine="420"/>
        <w:rPr>
          <w:rFonts w:ascii="Times New Roman" w:hAnsi="Times New Roman" w:eastAsia="仿宋"/>
          <w:sz w:val="32"/>
          <w:szCs w:val="32"/>
        </w:rPr>
      </w:pPr>
      <w:r>
        <w:rPr>
          <w:rFonts w:hint="eastAsia" w:ascii="Times New Roman" w:hAnsi="Times New Roman" w:eastAsia="仿宋"/>
          <w:sz w:val="32"/>
          <w:szCs w:val="32"/>
        </w:rPr>
        <w:t>3、专家组面试内容及分值</w:t>
      </w:r>
    </w:p>
    <w:p>
      <w:pPr>
        <w:ind w:firstLine="420"/>
        <w:rPr>
          <w:rFonts w:ascii="Times New Roman" w:hAnsi="Times New Roman" w:eastAsia="仿宋"/>
          <w:sz w:val="32"/>
          <w:szCs w:val="32"/>
        </w:rPr>
      </w:pPr>
      <w:r>
        <w:rPr>
          <w:rFonts w:hint="eastAsia" w:ascii="Times New Roman" w:hAnsi="Times New Roman" w:eastAsia="仿宋"/>
          <w:sz w:val="32"/>
          <w:szCs w:val="32"/>
        </w:rPr>
        <w:t>专家组面试内容包括专业英语、基础和专业知识、逻辑思维能力、科研能力和综合心理素质等。每位考生面试时间不少于40分钟，其中PPT陈述时间20分钟。按照“英语”、“基础综合”和“专业综合”三项科目分别给分，三项成绩的总和为专家组面试考察成绩。</w:t>
      </w:r>
    </w:p>
    <w:p>
      <w:pPr>
        <w:ind w:firstLine="420"/>
        <w:rPr>
          <w:rFonts w:ascii="Times New Roman" w:hAnsi="Times New Roman" w:eastAsia="仿宋"/>
          <w:sz w:val="32"/>
          <w:szCs w:val="32"/>
        </w:rPr>
      </w:pPr>
      <w:r>
        <w:rPr>
          <w:rFonts w:hint="eastAsia" w:ascii="Times New Roman" w:hAnsi="Times New Roman" w:eastAsia="仿宋"/>
          <w:sz w:val="32"/>
          <w:szCs w:val="32"/>
        </w:rPr>
        <w:t>（1）英语（100分）</w:t>
      </w:r>
    </w:p>
    <w:p>
      <w:pPr>
        <w:ind w:firstLine="420"/>
        <w:rPr>
          <w:rFonts w:ascii="Times New Roman" w:hAnsi="Times New Roman" w:eastAsia="仿宋"/>
          <w:sz w:val="32"/>
          <w:szCs w:val="32"/>
        </w:rPr>
      </w:pPr>
      <w:r>
        <w:rPr>
          <w:rFonts w:hint="eastAsia" w:ascii="Times New Roman" w:hAnsi="Times New Roman" w:eastAsia="仿宋"/>
          <w:sz w:val="32"/>
          <w:szCs w:val="32"/>
        </w:rPr>
        <w:t>考试形式：面试（包括英语口语表达能力、听力的测试）</w:t>
      </w:r>
    </w:p>
    <w:p>
      <w:pPr>
        <w:ind w:firstLine="420"/>
        <w:rPr>
          <w:rFonts w:ascii="Times New Roman" w:hAnsi="Times New Roman" w:eastAsia="仿宋"/>
          <w:sz w:val="32"/>
          <w:szCs w:val="32"/>
        </w:rPr>
      </w:pPr>
      <w:r>
        <w:rPr>
          <w:rFonts w:hint="eastAsia" w:ascii="Times New Roman" w:hAnsi="Times New Roman" w:eastAsia="仿宋"/>
          <w:sz w:val="32"/>
          <w:szCs w:val="32"/>
        </w:rPr>
        <w:t>（2）基础综合（100分）</w:t>
      </w:r>
    </w:p>
    <w:p>
      <w:pPr>
        <w:ind w:firstLine="420"/>
        <w:rPr>
          <w:rFonts w:ascii="Times New Roman" w:hAnsi="Times New Roman" w:eastAsia="仿宋"/>
          <w:sz w:val="32"/>
          <w:szCs w:val="32"/>
        </w:rPr>
      </w:pPr>
      <w:r>
        <w:rPr>
          <w:rFonts w:hint="eastAsia" w:ascii="Times New Roman" w:hAnsi="Times New Roman" w:eastAsia="仿宋"/>
          <w:sz w:val="32"/>
          <w:szCs w:val="32"/>
        </w:rPr>
        <w:t>（3）专业综合（100分）</w:t>
      </w:r>
    </w:p>
    <w:p>
      <w:pPr>
        <w:ind w:firstLine="420"/>
        <w:rPr>
          <w:rFonts w:ascii="Times New Roman" w:hAnsi="Times New Roman" w:eastAsia="仿宋"/>
          <w:sz w:val="32"/>
          <w:szCs w:val="32"/>
        </w:rPr>
      </w:pPr>
      <w:r>
        <w:rPr>
          <w:rFonts w:hint="eastAsia" w:ascii="Times New Roman" w:hAnsi="Times New Roman" w:eastAsia="仿宋"/>
          <w:sz w:val="32"/>
          <w:szCs w:val="32"/>
        </w:rPr>
        <w:t>“基础综合”和“专业综合”的考核内容包括基础和专业知识、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pPr>
        <w:ind w:firstLine="420"/>
        <w:rPr>
          <w:rFonts w:ascii="Times New Roman" w:hAnsi="Times New Roman" w:eastAsia="仿宋"/>
          <w:b/>
          <w:sz w:val="32"/>
          <w:szCs w:val="32"/>
        </w:rPr>
      </w:pPr>
      <w:r>
        <w:rPr>
          <w:rFonts w:hint="eastAsia" w:ascii="Times New Roman" w:hAnsi="Times New Roman" w:eastAsia="仿宋"/>
          <w:b/>
          <w:sz w:val="32"/>
          <w:szCs w:val="32"/>
        </w:rPr>
        <w:t>（三）导师组面试考察</w:t>
      </w:r>
    </w:p>
    <w:p>
      <w:pPr>
        <w:ind w:firstLine="420"/>
        <w:rPr>
          <w:rFonts w:ascii="Times New Roman" w:hAnsi="Times New Roman" w:eastAsia="仿宋"/>
          <w:sz w:val="32"/>
          <w:szCs w:val="32"/>
        </w:rPr>
      </w:pPr>
      <w:r>
        <w:rPr>
          <w:rFonts w:hint="eastAsia" w:ascii="Times New Roman" w:hAnsi="Times New Roman" w:eastAsia="仿宋"/>
          <w:sz w:val="32"/>
          <w:szCs w:val="32"/>
        </w:rPr>
        <w:t>凡专家组面试考核成绩达到180分及以上者，均具有导师组面试考察资格，由申请人所报读的导师组（不少于3人）对其进行更全面的面试。导师组对每名申请人的面试时间不少于30分钟。面试采用口头的方式进行，内容包括基础和专业知识、科研能力、逻辑思维能力和口头表达能力等。导师组综合考察申请人后，给出面试成绩，总分为300分。具体考核形式和评分标准由导师组自行确定。导师组面试考察的时间和地点届时见具体通知。</w:t>
      </w:r>
    </w:p>
    <w:p>
      <w:pPr>
        <w:ind w:firstLine="420"/>
        <w:rPr>
          <w:rFonts w:ascii="Times New Roman" w:hAnsi="Times New Roman" w:eastAsia="仿宋"/>
          <w:b/>
          <w:sz w:val="32"/>
          <w:szCs w:val="32"/>
        </w:rPr>
      </w:pPr>
      <w:r>
        <w:rPr>
          <w:rFonts w:hint="eastAsia" w:ascii="Times New Roman" w:hAnsi="Times New Roman" w:eastAsia="仿宋"/>
          <w:b/>
          <w:sz w:val="32"/>
          <w:szCs w:val="32"/>
        </w:rPr>
        <w:t>四、录取及调剂</w:t>
      </w:r>
    </w:p>
    <w:p>
      <w:pPr>
        <w:ind w:firstLine="420"/>
        <w:rPr>
          <w:rFonts w:ascii="Times New Roman" w:hAnsi="Times New Roman" w:eastAsia="仿宋"/>
          <w:sz w:val="32"/>
          <w:szCs w:val="32"/>
        </w:rPr>
      </w:pPr>
      <w:r>
        <w:rPr>
          <w:rFonts w:hint="eastAsia" w:ascii="Times New Roman" w:hAnsi="Times New Roman" w:eastAsia="仿宋"/>
          <w:sz w:val="32"/>
          <w:szCs w:val="32"/>
        </w:rPr>
        <w:t>导师组面试考察成绩和专家组面试考察成绩相加，得出综合考核总成绩，全部考生的综和考核总成绩不做总的排序，只在报考同一导师的考生中排序。首先根据导师招生指标分配排序录取，报考同一导师的考生再按照考生综合考核总成绩从高分到低分依次确定拟录取名单。</w:t>
      </w:r>
    </w:p>
    <w:p>
      <w:pPr>
        <w:ind w:firstLine="420"/>
        <w:rPr>
          <w:rFonts w:ascii="Times New Roman" w:hAnsi="Times New Roman" w:eastAsia="仿宋"/>
          <w:sz w:val="32"/>
          <w:szCs w:val="32"/>
        </w:rPr>
      </w:pPr>
      <w:r>
        <w:rPr>
          <w:rFonts w:hint="eastAsia" w:ascii="Times New Roman" w:hAnsi="Times New Roman" w:eastAsia="仿宋"/>
          <w:sz w:val="32"/>
          <w:szCs w:val="32"/>
        </w:rPr>
        <w:t>有下列情形之一者，不予录取：</w:t>
      </w:r>
    </w:p>
    <w:p>
      <w:pPr>
        <w:ind w:firstLine="420"/>
        <w:rPr>
          <w:rFonts w:ascii="Times New Roman" w:hAnsi="Times New Roman" w:eastAsia="仿宋"/>
          <w:sz w:val="32"/>
          <w:szCs w:val="32"/>
        </w:rPr>
      </w:pPr>
      <w:r>
        <w:rPr>
          <w:rFonts w:hint="eastAsia" w:ascii="Times New Roman" w:hAnsi="Times New Roman" w:eastAsia="仿宋"/>
          <w:sz w:val="32"/>
          <w:szCs w:val="32"/>
        </w:rPr>
        <w:t>（1）未按规定参加考核者。</w:t>
      </w:r>
    </w:p>
    <w:p>
      <w:pPr>
        <w:ind w:firstLine="420"/>
        <w:rPr>
          <w:rFonts w:ascii="Times New Roman" w:hAnsi="Times New Roman" w:eastAsia="仿宋"/>
          <w:sz w:val="32"/>
          <w:szCs w:val="32"/>
        </w:rPr>
      </w:pPr>
      <w:r>
        <w:rPr>
          <w:rFonts w:hint="eastAsia" w:ascii="Times New Roman" w:hAnsi="Times New Roman" w:eastAsia="仿宋"/>
          <w:sz w:val="32"/>
          <w:szCs w:val="32"/>
        </w:rPr>
        <w:t>（2） 导师组面试考察成绩或专家组面试考察成绩低于180分者。</w:t>
      </w:r>
    </w:p>
    <w:p>
      <w:pPr>
        <w:ind w:firstLine="420"/>
        <w:rPr>
          <w:rFonts w:ascii="Times New Roman" w:hAnsi="Times New Roman" w:eastAsia="仿宋"/>
          <w:sz w:val="32"/>
          <w:szCs w:val="32"/>
        </w:rPr>
      </w:pPr>
      <w:r>
        <w:rPr>
          <w:rFonts w:hint="eastAsia" w:ascii="Times New Roman" w:hAnsi="Times New Roman" w:eastAsia="仿宋"/>
          <w:sz w:val="32"/>
          <w:szCs w:val="32"/>
        </w:rPr>
        <w:t>我院院内跨数学、统计学两个一级学科专业及其二级学科专业调剂申请由学院研究生教育与学位专门委员会进行审批。如招生计划未完全使用，可接受原报读我校其他院系但未获录取考生的再次申请，申请人须符合我院的申请条件，按要求提交申请材料，通过材料审核及学校招生工作领导小组审批后参加综合考核。</w:t>
      </w:r>
    </w:p>
    <w:p>
      <w:pPr>
        <w:tabs>
          <w:tab w:val="left" w:pos="3180"/>
        </w:tabs>
        <w:ind w:firstLine="420"/>
        <w:rPr>
          <w:rFonts w:ascii="Times New Roman" w:hAnsi="Times New Roman" w:eastAsia="仿宋"/>
          <w:b/>
          <w:sz w:val="32"/>
          <w:szCs w:val="32"/>
        </w:rPr>
      </w:pPr>
      <w:r>
        <w:rPr>
          <w:rFonts w:hint="eastAsia" w:ascii="Times New Roman" w:hAnsi="Times New Roman" w:eastAsia="仿宋"/>
          <w:b/>
          <w:sz w:val="32"/>
          <w:szCs w:val="32"/>
        </w:rPr>
        <w:t>五、信息公开</w:t>
      </w:r>
      <w:r>
        <w:rPr>
          <w:rFonts w:ascii="Times New Roman" w:hAnsi="Times New Roman" w:eastAsia="仿宋"/>
          <w:b/>
          <w:sz w:val="32"/>
          <w:szCs w:val="32"/>
        </w:rPr>
        <w:tab/>
      </w:r>
    </w:p>
    <w:p>
      <w:pPr>
        <w:ind w:firstLine="420"/>
        <w:rPr>
          <w:rFonts w:ascii="Times New Roman" w:hAnsi="Times New Roman" w:eastAsia="仿宋"/>
          <w:sz w:val="32"/>
          <w:szCs w:val="32"/>
        </w:rPr>
      </w:pPr>
      <w:r>
        <w:rPr>
          <w:rFonts w:hint="eastAsia" w:ascii="Times New Roman" w:hAnsi="Times New Roman" w:eastAsia="仿宋"/>
          <w:sz w:val="32"/>
          <w:szCs w:val="32"/>
        </w:rPr>
        <w:t>综合考核结果将在数学学院网站进行公示，公示时间不少于10个工作日。网址</w:t>
      </w:r>
    </w:p>
    <w:p>
      <w:pPr>
        <w:ind w:firstLine="420"/>
        <w:rPr>
          <w:sz w:val="28"/>
          <w:szCs w:val="28"/>
        </w:rPr>
      </w:pPr>
      <w:r>
        <w:fldChar w:fldCharType="begin"/>
      </w:r>
      <w:r>
        <w:instrText xml:space="preserve"> HYPERLINK "http://math.sysu.edu.cn/" </w:instrText>
      </w:r>
      <w:r>
        <w:fldChar w:fldCharType="separate"/>
      </w:r>
      <w:r>
        <w:rPr>
          <w:rStyle w:val="10"/>
          <w:sz w:val="28"/>
          <w:szCs w:val="28"/>
        </w:rPr>
        <w:t>http://math.sysu.edu.cn/</w:t>
      </w:r>
      <w:r>
        <w:rPr>
          <w:rStyle w:val="10"/>
          <w:sz w:val="28"/>
          <w:szCs w:val="28"/>
        </w:rPr>
        <w:fldChar w:fldCharType="end"/>
      </w:r>
    </w:p>
    <w:p>
      <w:pPr>
        <w:ind w:firstLine="420"/>
        <w:rPr>
          <w:rFonts w:ascii="Times New Roman" w:hAnsi="Times New Roman" w:eastAsia="仿宋"/>
          <w:b/>
          <w:sz w:val="32"/>
          <w:szCs w:val="32"/>
        </w:rPr>
      </w:pPr>
      <w:r>
        <w:rPr>
          <w:rFonts w:hint="eastAsia" w:ascii="Times New Roman" w:hAnsi="Times New Roman" w:eastAsia="仿宋"/>
          <w:b/>
          <w:sz w:val="32"/>
          <w:szCs w:val="32"/>
        </w:rPr>
        <w:t>六、其他事项</w:t>
      </w:r>
    </w:p>
    <w:p>
      <w:pPr>
        <w:ind w:firstLine="420"/>
        <w:rPr>
          <w:rFonts w:ascii="Times New Roman" w:hAnsi="Times New Roman" w:eastAsia="仿宋"/>
          <w:sz w:val="32"/>
          <w:szCs w:val="32"/>
        </w:rPr>
      </w:pPr>
      <w:r>
        <w:rPr>
          <w:rFonts w:hint="eastAsia" w:ascii="Times New Roman" w:hAnsi="Times New Roman" w:eastAsia="仿宋"/>
          <w:sz w:val="32"/>
          <w:szCs w:val="32"/>
        </w:rPr>
        <w:t>1、参与考核的教师姓名不予提前公布。</w:t>
      </w:r>
    </w:p>
    <w:p>
      <w:pPr>
        <w:ind w:firstLine="420"/>
        <w:rPr>
          <w:rFonts w:ascii="Times New Roman" w:hAnsi="Times New Roman" w:eastAsia="仿宋"/>
          <w:sz w:val="32"/>
          <w:szCs w:val="32"/>
        </w:rPr>
      </w:pPr>
      <w:r>
        <w:rPr>
          <w:rFonts w:hint="eastAsia" w:ascii="Times New Roman" w:hAnsi="Times New Roman" w:eastAsia="仿宋"/>
          <w:sz w:val="32"/>
          <w:szCs w:val="32"/>
        </w:rPr>
        <w:t>2、本办法未尽事宜将遵照《中山大学以“申请-考核”制招收博士研究生工作办法（试行）》及当年博士研究生招生文件执行。</w:t>
      </w:r>
    </w:p>
    <w:p>
      <w:pPr>
        <w:pStyle w:val="12"/>
        <w:autoSpaceDE w:val="0"/>
        <w:autoSpaceDN w:val="0"/>
        <w:adjustRightInd w:val="0"/>
        <w:ind w:firstLineChars="0"/>
        <w:jc w:val="left"/>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Times New Roman" w:eastAsia="仿宋"/>
          <w:sz w:val="32"/>
          <w:szCs w:val="32"/>
        </w:rPr>
        <w:t>本</w:t>
      </w:r>
      <w:r>
        <w:rPr>
          <w:rFonts w:hint="eastAsia" w:ascii="Times New Roman" w:hAnsi="Times New Roman" w:eastAsia="仿宋"/>
          <w:sz w:val="32"/>
          <w:szCs w:val="32"/>
        </w:rPr>
        <w:t>办法</w:t>
      </w:r>
      <w:r>
        <w:rPr>
          <w:rFonts w:ascii="Times New Roman" w:hAnsi="Times New Roman" w:eastAsia="仿宋"/>
          <w:sz w:val="32"/>
          <w:szCs w:val="32"/>
        </w:rPr>
        <w:t>由</w:t>
      </w:r>
      <w:r>
        <w:rPr>
          <w:rFonts w:hint="eastAsia" w:ascii="Times New Roman" w:hAnsi="Times New Roman" w:eastAsia="仿宋"/>
          <w:sz w:val="32"/>
          <w:szCs w:val="32"/>
        </w:rPr>
        <w:t>中山大学数学学院</w:t>
      </w:r>
      <w:r>
        <w:rPr>
          <w:rFonts w:ascii="Times New Roman" w:hAnsi="Times New Roman" w:eastAsia="仿宋"/>
          <w:sz w:val="32"/>
          <w:szCs w:val="32"/>
        </w:rPr>
        <w:t>负责解释。</w:t>
      </w:r>
    </w:p>
    <w:p>
      <w:pPr>
        <w:rPr>
          <w:rFonts w:ascii="Times New Roman" w:hAnsi="Times New Roman" w:eastAsia="仿宋"/>
          <w:kern w:val="0"/>
          <w:sz w:val="32"/>
          <w:szCs w:val="32"/>
        </w:rPr>
      </w:pPr>
    </w:p>
    <w:p>
      <w:pPr>
        <w:ind w:firstLine="640" w:firstLineChars="200"/>
        <w:rPr>
          <w:rFonts w:ascii="Times New Roman" w:hAnsi="Times New Roman" w:eastAsia="仿宋"/>
          <w:kern w:val="0"/>
          <w:sz w:val="32"/>
          <w:szCs w:val="32"/>
        </w:rPr>
      </w:pPr>
    </w:p>
    <w:p>
      <w:pPr>
        <w:ind w:firstLine="643" w:firstLineChars="200"/>
        <w:jc w:val="center"/>
        <w:rPr>
          <w:rFonts w:ascii="Times New Roman" w:hAnsi="Times New Roman" w:eastAsia="仿宋"/>
          <w:b/>
          <w:bCs/>
          <w:sz w:val="32"/>
          <w:szCs w:val="32"/>
        </w:rPr>
      </w:pPr>
    </w:p>
    <w:p>
      <w:pPr>
        <w:rPr>
          <w:rFonts w:ascii="Times New Roman" w:hAnsi="Times New Roman" w:eastAsia="仿宋"/>
          <w:b/>
          <w:bCs/>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AOAE0QAAAAMBAAAPAAAAAAAAAAEAIAAAACIAAABkcnMvZG93bnJldi54bWxQSwECFAAUAAAACACH&#10;TuJAo7gutfIBAADBAwAADgAAAAAAAAABACAAAAAgAQAAZHJzL2Uyb0RvYy54bWxQSwUGAAAAAAYA&#10;BgBZAQAAh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D"/>
    <w:rsid w:val="00005838"/>
    <w:rsid w:val="000205A5"/>
    <w:rsid w:val="00025B6C"/>
    <w:rsid w:val="000265D4"/>
    <w:rsid w:val="00027240"/>
    <w:rsid w:val="00032A22"/>
    <w:rsid w:val="00036AAB"/>
    <w:rsid w:val="00041916"/>
    <w:rsid w:val="000460B2"/>
    <w:rsid w:val="000515B7"/>
    <w:rsid w:val="00052838"/>
    <w:rsid w:val="00054C24"/>
    <w:rsid w:val="00077769"/>
    <w:rsid w:val="000A27DF"/>
    <w:rsid w:val="000A428B"/>
    <w:rsid w:val="000A78AB"/>
    <w:rsid w:val="000D37AA"/>
    <w:rsid w:val="000F395A"/>
    <w:rsid w:val="001171CD"/>
    <w:rsid w:val="00120A0C"/>
    <w:rsid w:val="00122621"/>
    <w:rsid w:val="00147FEE"/>
    <w:rsid w:val="00163B9B"/>
    <w:rsid w:val="00166DEE"/>
    <w:rsid w:val="00173015"/>
    <w:rsid w:val="00176D10"/>
    <w:rsid w:val="00184C92"/>
    <w:rsid w:val="00187659"/>
    <w:rsid w:val="00187799"/>
    <w:rsid w:val="0019018D"/>
    <w:rsid w:val="00191806"/>
    <w:rsid w:val="001A4B5C"/>
    <w:rsid w:val="001B085D"/>
    <w:rsid w:val="001D5367"/>
    <w:rsid w:val="001D6C90"/>
    <w:rsid w:val="001D6DDB"/>
    <w:rsid w:val="001E17A1"/>
    <w:rsid w:val="001E7C36"/>
    <w:rsid w:val="00212EB5"/>
    <w:rsid w:val="00232955"/>
    <w:rsid w:val="00243206"/>
    <w:rsid w:val="00244163"/>
    <w:rsid w:val="0024537B"/>
    <w:rsid w:val="002651F2"/>
    <w:rsid w:val="0027174E"/>
    <w:rsid w:val="00285F32"/>
    <w:rsid w:val="00287099"/>
    <w:rsid w:val="00297369"/>
    <w:rsid w:val="002B329C"/>
    <w:rsid w:val="002C729F"/>
    <w:rsid w:val="002E4570"/>
    <w:rsid w:val="002F4A25"/>
    <w:rsid w:val="003024FE"/>
    <w:rsid w:val="0030254E"/>
    <w:rsid w:val="00303A77"/>
    <w:rsid w:val="00306F6F"/>
    <w:rsid w:val="003105A5"/>
    <w:rsid w:val="00310D9E"/>
    <w:rsid w:val="00331FEB"/>
    <w:rsid w:val="00353DB7"/>
    <w:rsid w:val="0035445A"/>
    <w:rsid w:val="003568E2"/>
    <w:rsid w:val="00381FA1"/>
    <w:rsid w:val="00387985"/>
    <w:rsid w:val="003949C3"/>
    <w:rsid w:val="003B15F8"/>
    <w:rsid w:val="003D1A80"/>
    <w:rsid w:val="003D40F2"/>
    <w:rsid w:val="003D7D1A"/>
    <w:rsid w:val="003E637E"/>
    <w:rsid w:val="00404175"/>
    <w:rsid w:val="0042087C"/>
    <w:rsid w:val="004236A4"/>
    <w:rsid w:val="00432837"/>
    <w:rsid w:val="00432DE4"/>
    <w:rsid w:val="0045399D"/>
    <w:rsid w:val="004613E9"/>
    <w:rsid w:val="004750F2"/>
    <w:rsid w:val="00476806"/>
    <w:rsid w:val="00476FD2"/>
    <w:rsid w:val="0047711A"/>
    <w:rsid w:val="004966F8"/>
    <w:rsid w:val="004A0D00"/>
    <w:rsid w:val="004A2E12"/>
    <w:rsid w:val="004B7638"/>
    <w:rsid w:val="004E5530"/>
    <w:rsid w:val="004F1536"/>
    <w:rsid w:val="00512278"/>
    <w:rsid w:val="005146AA"/>
    <w:rsid w:val="00517D3A"/>
    <w:rsid w:val="00530101"/>
    <w:rsid w:val="005301AF"/>
    <w:rsid w:val="00541BF7"/>
    <w:rsid w:val="00543D2A"/>
    <w:rsid w:val="005462E2"/>
    <w:rsid w:val="00547B6B"/>
    <w:rsid w:val="00564574"/>
    <w:rsid w:val="00574EF4"/>
    <w:rsid w:val="0057579D"/>
    <w:rsid w:val="005A64B4"/>
    <w:rsid w:val="005B2F44"/>
    <w:rsid w:val="005C0012"/>
    <w:rsid w:val="005D2945"/>
    <w:rsid w:val="005D480D"/>
    <w:rsid w:val="005F4167"/>
    <w:rsid w:val="005F7A4C"/>
    <w:rsid w:val="00607850"/>
    <w:rsid w:val="00614069"/>
    <w:rsid w:val="006144B8"/>
    <w:rsid w:val="00620F34"/>
    <w:rsid w:val="0063055E"/>
    <w:rsid w:val="00650851"/>
    <w:rsid w:val="006666FB"/>
    <w:rsid w:val="006672BE"/>
    <w:rsid w:val="00671F8F"/>
    <w:rsid w:val="006A24B3"/>
    <w:rsid w:val="006B3E29"/>
    <w:rsid w:val="006C3CAB"/>
    <w:rsid w:val="006E471E"/>
    <w:rsid w:val="0070195A"/>
    <w:rsid w:val="007075EC"/>
    <w:rsid w:val="00707F78"/>
    <w:rsid w:val="00723BE0"/>
    <w:rsid w:val="00723E16"/>
    <w:rsid w:val="00743A6F"/>
    <w:rsid w:val="0075350C"/>
    <w:rsid w:val="00755FF7"/>
    <w:rsid w:val="00776605"/>
    <w:rsid w:val="00780D28"/>
    <w:rsid w:val="007836C4"/>
    <w:rsid w:val="00783A4E"/>
    <w:rsid w:val="007B2ACD"/>
    <w:rsid w:val="007D3C67"/>
    <w:rsid w:val="007E2500"/>
    <w:rsid w:val="007F2783"/>
    <w:rsid w:val="007F3E37"/>
    <w:rsid w:val="008106BD"/>
    <w:rsid w:val="0081465F"/>
    <w:rsid w:val="00826D82"/>
    <w:rsid w:val="00833357"/>
    <w:rsid w:val="00837D71"/>
    <w:rsid w:val="00841107"/>
    <w:rsid w:val="00850C69"/>
    <w:rsid w:val="00851818"/>
    <w:rsid w:val="008613FF"/>
    <w:rsid w:val="00884BAD"/>
    <w:rsid w:val="008879AA"/>
    <w:rsid w:val="00892080"/>
    <w:rsid w:val="008934B5"/>
    <w:rsid w:val="00893CC3"/>
    <w:rsid w:val="00896C33"/>
    <w:rsid w:val="00897D9B"/>
    <w:rsid w:val="008A1369"/>
    <w:rsid w:val="008B29A0"/>
    <w:rsid w:val="008C28A6"/>
    <w:rsid w:val="008C7FA2"/>
    <w:rsid w:val="008E7410"/>
    <w:rsid w:val="008F18D6"/>
    <w:rsid w:val="008F6269"/>
    <w:rsid w:val="00912D7D"/>
    <w:rsid w:val="00917294"/>
    <w:rsid w:val="00923288"/>
    <w:rsid w:val="00934548"/>
    <w:rsid w:val="00940B9A"/>
    <w:rsid w:val="0094769B"/>
    <w:rsid w:val="009534EA"/>
    <w:rsid w:val="00962C01"/>
    <w:rsid w:val="00967453"/>
    <w:rsid w:val="00973134"/>
    <w:rsid w:val="009875F4"/>
    <w:rsid w:val="00997BA9"/>
    <w:rsid w:val="009A47FD"/>
    <w:rsid w:val="009B6D93"/>
    <w:rsid w:val="009D0212"/>
    <w:rsid w:val="009F0EC2"/>
    <w:rsid w:val="009F6B85"/>
    <w:rsid w:val="009F78BD"/>
    <w:rsid w:val="00A02CE3"/>
    <w:rsid w:val="00A07C36"/>
    <w:rsid w:val="00A125E5"/>
    <w:rsid w:val="00A13D56"/>
    <w:rsid w:val="00A22F27"/>
    <w:rsid w:val="00A274D6"/>
    <w:rsid w:val="00A31FDF"/>
    <w:rsid w:val="00A32F72"/>
    <w:rsid w:val="00A412B5"/>
    <w:rsid w:val="00A4149E"/>
    <w:rsid w:val="00A45BE1"/>
    <w:rsid w:val="00A47580"/>
    <w:rsid w:val="00A51FF9"/>
    <w:rsid w:val="00A62AA7"/>
    <w:rsid w:val="00A8150F"/>
    <w:rsid w:val="00A845AC"/>
    <w:rsid w:val="00A85134"/>
    <w:rsid w:val="00A90877"/>
    <w:rsid w:val="00A90E15"/>
    <w:rsid w:val="00A95D27"/>
    <w:rsid w:val="00A96AD1"/>
    <w:rsid w:val="00A97766"/>
    <w:rsid w:val="00AD3512"/>
    <w:rsid w:val="00AD541B"/>
    <w:rsid w:val="00AD5BD4"/>
    <w:rsid w:val="00AF646F"/>
    <w:rsid w:val="00B25DA1"/>
    <w:rsid w:val="00B40E4C"/>
    <w:rsid w:val="00B42B03"/>
    <w:rsid w:val="00B5084E"/>
    <w:rsid w:val="00B56F1C"/>
    <w:rsid w:val="00B76ED8"/>
    <w:rsid w:val="00B80B3E"/>
    <w:rsid w:val="00B83434"/>
    <w:rsid w:val="00B85A23"/>
    <w:rsid w:val="00BA3B1D"/>
    <w:rsid w:val="00BC63BC"/>
    <w:rsid w:val="00BD17D4"/>
    <w:rsid w:val="00BD7F69"/>
    <w:rsid w:val="00BE0D61"/>
    <w:rsid w:val="00BE2C3A"/>
    <w:rsid w:val="00BE3C5B"/>
    <w:rsid w:val="00BE617E"/>
    <w:rsid w:val="00C07864"/>
    <w:rsid w:val="00C123A4"/>
    <w:rsid w:val="00C13B90"/>
    <w:rsid w:val="00C314AB"/>
    <w:rsid w:val="00C33B25"/>
    <w:rsid w:val="00C3405B"/>
    <w:rsid w:val="00C42BA6"/>
    <w:rsid w:val="00C60F3E"/>
    <w:rsid w:val="00C67401"/>
    <w:rsid w:val="00C67465"/>
    <w:rsid w:val="00C7783F"/>
    <w:rsid w:val="00C84642"/>
    <w:rsid w:val="00CC6F9D"/>
    <w:rsid w:val="00CD0346"/>
    <w:rsid w:val="00CD1599"/>
    <w:rsid w:val="00CD67C4"/>
    <w:rsid w:val="00CE2BB0"/>
    <w:rsid w:val="00CF498F"/>
    <w:rsid w:val="00D025F5"/>
    <w:rsid w:val="00D125CD"/>
    <w:rsid w:val="00D445F9"/>
    <w:rsid w:val="00D70DB5"/>
    <w:rsid w:val="00D76D34"/>
    <w:rsid w:val="00D80DE1"/>
    <w:rsid w:val="00D87386"/>
    <w:rsid w:val="00D93706"/>
    <w:rsid w:val="00D965D4"/>
    <w:rsid w:val="00DC41A2"/>
    <w:rsid w:val="00DE0D81"/>
    <w:rsid w:val="00DE0D8F"/>
    <w:rsid w:val="00DF0DFE"/>
    <w:rsid w:val="00DF3D54"/>
    <w:rsid w:val="00E001A2"/>
    <w:rsid w:val="00E15379"/>
    <w:rsid w:val="00E237A8"/>
    <w:rsid w:val="00E2442C"/>
    <w:rsid w:val="00E35845"/>
    <w:rsid w:val="00E56304"/>
    <w:rsid w:val="00E5641D"/>
    <w:rsid w:val="00E56E4B"/>
    <w:rsid w:val="00E617F7"/>
    <w:rsid w:val="00E62A98"/>
    <w:rsid w:val="00E716E7"/>
    <w:rsid w:val="00E74B5E"/>
    <w:rsid w:val="00E84BAC"/>
    <w:rsid w:val="00E86301"/>
    <w:rsid w:val="00E950E5"/>
    <w:rsid w:val="00E95C0E"/>
    <w:rsid w:val="00EA14FA"/>
    <w:rsid w:val="00EA43DB"/>
    <w:rsid w:val="00EB0845"/>
    <w:rsid w:val="00EB319A"/>
    <w:rsid w:val="00EC3D56"/>
    <w:rsid w:val="00EC64BB"/>
    <w:rsid w:val="00EC6B75"/>
    <w:rsid w:val="00EC6C06"/>
    <w:rsid w:val="00EE23D3"/>
    <w:rsid w:val="00EE6CCC"/>
    <w:rsid w:val="00EF52E2"/>
    <w:rsid w:val="00F04F60"/>
    <w:rsid w:val="00F14127"/>
    <w:rsid w:val="00F25C9B"/>
    <w:rsid w:val="00F3109C"/>
    <w:rsid w:val="00F32078"/>
    <w:rsid w:val="00F4726F"/>
    <w:rsid w:val="00F61197"/>
    <w:rsid w:val="00F70273"/>
    <w:rsid w:val="00F71D38"/>
    <w:rsid w:val="00F819F6"/>
    <w:rsid w:val="00F826EA"/>
    <w:rsid w:val="00F86F54"/>
    <w:rsid w:val="00F92BC1"/>
    <w:rsid w:val="00FA4328"/>
    <w:rsid w:val="00FA7CFA"/>
    <w:rsid w:val="00FB6F14"/>
    <w:rsid w:val="00FB792E"/>
    <w:rsid w:val="00FC4DD2"/>
    <w:rsid w:val="00FC53F8"/>
    <w:rsid w:val="00FD0A0E"/>
    <w:rsid w:val="00FF509C"/>
    <w:rsid w:val="02913BC4"/>
    <w:rsid w:val="02BE7884"/>
    <w:rsid w:val="04935DE3"/>
    <w:rsid w:val="05336716"/>
    <w:rsid w:val="08241A2B"/>
    <w:rsid w:val="0AB1291A"/>
    <w:rsid w:val="0C7A46FF"/>
    <w:rsid w:val="0C7C29CB"/>
    <w:rsid w:val="10B76371"/>
    <w:rsid w:val="12F45956"/>
    <w:rsid w:val="13C80904"/>
    <w:rsid w:val="13F323A8"/>
    <w:rsid w:val="19FA033C"/>
    <w:rsid w:val="24483D3B"/>
    <w:rsid w:val="269A1F58"/>
    <w:rsid w:val="28DB3015"/>
    <w:rsid w:val="29726C96"/>
    <w:rsid w:val="2A0C1188"/>
    <w:rsid w:val="2B762959"/>
    <w:rsid w:val="30BB6E5C"/>
    <w:rsid w:val="331C38DD"/>
    <w:rsid w:val="35002E80"/>
    <w:rsid w:val="3AB52DFD"/>
    <w:rsid w:val="3EF2362B"/>
    <w:rsid w:val="429F7E5D"/>
    <w:rsid w:val="49CA551D"/>
    <w:rsid w:val="4E0F48B5"/>
    <w:rsid w:val="562D56E5"/>
    <w:rsid w:val="57BF5603"/>
    <w:rsid w:val="599D5D8E"/>
    <w:rsid w:val="66A418A2"/>
    <w:rsid w:val="6795685F"/>
    <w:rsid w:val="6AD07D8E"/>
    <w:rsid w:val="6E3E606D"/>
    <w:rsid w:val="72C83ED5"/>
    <w:rsid w:val="74342005"/>
    <w:rsid w:val="796E6BD6"/>
    <w:rsid w:val="7E7864CF"/>
    <w:rsid w:val="7FCA0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unhideWhenUsed/>
    <w:qFormat/>
    <w:uiPriority w:val="99"/>
    <w:rPr>
      <w:b/>
      <w:bCs/>
    </w:rPr>
  </w:style>
  <w:style w:type="character" w:styleId="10">
    <w:name w:val="Hyperlink"/>
    <w:basedOn w:val="9"/>
    <w:unhideWhenUsed/>
    <w:qFormat/>
    <w:uiPriority w:val="0"/>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日期 字符"/>
    <w:basedOn w:val="9"/>
    <w:link w:val="3"/>
    <w:semiHidden/>
    <w:uiPriority w:val="99"/>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361</Words>
  <Characters>2062</Characters>
  <Lines>17</Lines>
  <Paragraphs>4</Paragraphs>
  <TotalTime>113</TotalTime>
  <ScaleCrop>false</ScaleCrop>
  <LinksUpToDate>false</LinksUpToDate>
  <CharactersWithSpaces>2419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2017-09-26T02:32:00Z</dcterms:created>
  <dc:creator>USER</dc:creator>
  <cp:lastModifiedBy>麦穗</cp:lastModifiedBy>
  <cp:lastPrinted>2017-09-26T05:17:00Z</cp:lastPrinted>
  <dcterms:modified xsi:type="dcterms:W3CDTF">2019-10-11T08:00:34Z</dcterms:modified>
  <dc:title>中山大学以“申请—考核”方式招收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